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DD0CF-BD82-4986-9158-379425690D4D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